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3A69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0805E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597F2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6A1024">
        <w:rPr>
          <w:rFonts w:ascii="Corbel" w:hAnsi="Corbel"/>
          <w:sz w:val="20"/>
          <w:szCs w:val="20"/>
        </w:rPr>
        <w:t xml:space="preserve">akademicki </w:t>
      </w:r>
      <w:r w:rsidR="001627C5" w:rsidRPr="001627C5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76069" w:rsidRDefault="00B50D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6069">
              <w:rPr>
                <w:rFonts w:ascii="Corbel" w:hAnsi="Corbel"/>
                <w:sz w:val="24"/>
                <w:szCs w:val="24"/>
              </w:rPr>
              <w:t>Prawo administracyjne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PRA07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C3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7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37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/ semestr 3 i 4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(obowiązkowy)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076069" w:rsidRPr="009C54AE" w:rsidTr="00B819C8">
        <w:tc>
          <w:tcPr>
            <w:tcW w:w="2694" w:type="dxa"/>
            <w:vAlign w:val="center"/>
          </w:tcPr>
          <w:p w:rsidR="00076069" w:rsidRPr="009C54AE" w:rsidRDefault="00076069" w:rsidP="000760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6069" w:rsidRPr="009C54AE" w:rsidRDefault="00076069" w:rsidP="000760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E0D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92E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7A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7A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17D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50D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84531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Pr="009C54AE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31" w:rsidRDefault="004845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4531" w:rsidRPr="00887D69" w:rsidRDefault="00484531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84531" w:rsidRPr="009C54AE" w:rsidRDefault="00484531" w:rsidP="0048453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B50D95" w:rsidRPr="008572C4" w:rsidRDefault="00B50D95" w:rsidP="00B50D95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b/>
          <w:sz w:val="24"/>
          <w:szCs w:val="24"/>
        </w:rPr>
        <w:t>W przypadku wykładu</w:t>
      </w:r>
      <w:r w:rsidRPr="008572C4">
        <w:rPr>
          <w:rFonts w:ascii="Corbel" w:eastAsia="Cambria" w:hAnsi="Corbel"/>
          <w:sz w:val="24"/>
          <w:szCs w:val="24"/>
        </w:rPr>
        <w:t xml:space="preserve"> – egzamin w formie pisemnej lub ustnej.</w:t>
      </w:r>
    </w:p>
    <w:p w:rsidR="00F57A4F" w:rsidRPr="008572C4" w:rsidRDefault="00F57A4F" w:rsidP="00F57A4F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8572C4">
        <w:rPr>
          <w:rFonts w:ascii="Corbel" w:eastAsia="Cambria" w:hAnsi="Corbel"/>
          <w:b/>
          <w:sz w:val="24"/>
          <w:szCs w:val="24"/>
        </w:rPr>
        <w:t>W przypadku ćwiczeń</w:t>
      </w:r>
      <w:r w:rsidRPr="008572C4">
        <w:rPr>
          <w:rFonts w:ascii="Corbel" w:eastAsia="Cambria" w:hAnsi="Corbel"/>
          <w:sz w:val="24"/>
          <w:szCs w:val="24"/>
        </w:rPr>
        <w:t xml:space="preserve"> - zaliczenie z oceną w formie pisemnej lub ustnej. W celu zweryfikowania wiedzy zdobytej w czasie ćwiczeń może zostać przeprowadzone kolokwium w formie pisemnej lub ustnej – po omówieniu części treści merytorycznej przedmiotu. Możliwa jest również bieżąca ocena </w:t>
      </w:r>
      <w:r w:rsidRPr="008572C4">
        <w:rPr>
          <w:rFonts w:ascii="Corbel" w:eastAsia="Cambria" w:hAnsi="Corbel"/>
          <w:sz w:val="24"/>
          <w:szCs w:val="24"/>
        </w:rPr>
        <w:lastRenderedPageBreak/>
        <w:t>wiedzy studenta – w postaci pytań kontrolnych, odpowiedzi pisemnych, przedstawienia prezentacji multimedialnej lub referatu.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76069" w:rsidRPr="009C54AE" w:rsidRDefault="0007606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Student ma uzyskać wiedzę z zakresu podstawowych pojęć prawa administracyjnego, klasyfikowania źródeł prawa administracyjnego z uwzględnieniem prawa unijnego, systemu i funkcjonowania administracji w Polsce oraz prawnych form działania organów administracji a także podstawowych rozwiązań z materialnego prawa administracyjnego.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Określenia zakresu regulacji normami prawa materialnego i ingerencji administracji w sferę praw i wolności jednostki, stosowania wykładni części szczegółowej w prawie administracyjnym.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B50D95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50D95">
              <w:rPr>
                <w:rFonts w:ascii="Corbel" w:hAnsi="Corbel"/>
                <w:b w:val="0"/>
                <w:sz w:val="24"/>
                <w:szCs w:val="24"/>
              </w:rPr>
              <w:t>Poruszania się po zasadniczych aktach prawnych zawierających normy prawa materialnego administracyjnego – przy uwzględnieniu działów administracji rządowej i zadań realizowanych przez samorząd terytorialny.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Definiuje podstawowe pojęcia prawa administracyjnego oraz rozpoznaje normy prawa administracyjnego, identyfikuje struktury i instytucje prawne i administracyjne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Rozróżnia podstawowe kategorie instytucji prawnych, w tym z zakresie prawa administracyjnego, ich struktury, zasad działania 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Posługuje się prawidłową terminologią z zakresu prawa administracyjnego, posiada wiedzę o metodach i narzędziach pozyskiwania informacji o obowiązującym prawie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Identyfikuje źródła prawa krajowego i unijnego, międzynarodowego oraz je klasyfikuje i wyróżnia źródła prawa administracyjnego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Posługuje się argumentacją i interpretacją prawniczą oraz tekstami aktów normatywnych w celu ustalenia na ich podstawie odnoszących się do danego stanu faktycznego przepisów prawnych.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K_U02,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Rozróżnia kompetencje poszczególnych organów administracji publicznej oraz procesy </w:t>
            </w:r>
            <w:r w:rsidR="00484531" w:rsidRPr="008572C4">
              <w:rPr>
                <w:rFonts w:ascii="Corbel" w:hAnsi="Corbel"/>
                <w:sz w:val="24"/>
                <w:szCs w:val="24"/>
              </w:rPr>
              <w:t>w nich i między nimi zachodzące oraz rozumie potrzebę dalszego kształcenia się.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84531" w:rsidRPr="008572C4" w:rsidRDefault="00484531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Sprawnie wykorzystuje orzecznictwo sądowe do prognozowania skutków działań podejmowanych w zakresie rozstrzygania indywidualnych spraw z zakresu administracji publicznej 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Analizuje, interpretuje uzyskane informacje, oraz uzasadnia opinie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K_U05,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Wykorzystuje wiedzę teoretyczną do analizy przykładowego  stanu faktycznego, rozwiązuje kazusy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Rozumie i analizuje zmiany w ustawodawstwie prawnym, w szczególności prawno-administracyjnym, posiada  umiejętność logicznego i merytorycznego myślenia i wypowiedzi w mowie i piśmie na tematy dotyczące wybranych zagadnień z dziedziny administracji publicznej z wykorzystaniem wiedzy teoretyczno-praktycznej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 xml:space="preserve">K_U08, 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Przygotowuje projekty podstawowych dokumentów prawnych np. decyzji administracyjnych czy porozumień. Prezentuje zdobytą wiedzę w wystąpieniach ustnych, referatach czy w postaci prezentacji multimedialnych.</w:t>
            </w:r>
          </w:p>
        </w:tc>
        <w:tc>
          <w:tcPr>
            <w:tcW w:w="1873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K_U11,</w:t>
            </w:r>
          </w:p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Identyfikuje i rozstrzyga problemy związane z wykonywaniem zawodu w administracji publicznej.</w:t>
            </w:r>
          </w:p>
        </w:tc>
        <w:tc>
          <w:tcPr>
            <w:tcW w:w="1873" w:type="dxa"/>
          </w:tcPr>
          <w:p w:rsidR="00F57A4F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D613A4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</w:tc>
        <w:tc>
          <w:tcPr>
            <w:tcW w:w="1873" w:type="dxa"/>
          </w:tcPr>
          <w:p w:rsidR="00F57A4F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F57A4F" w:rsidRPr="008572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F57A4F" w:rsidRPr="008572C4" w:rsidRDefault="006A1024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Wykazuje aktywność oraz wytrwałość w odejmowanych wyzwaniach na zajęciach oraz i</w:t>
            </w:r>
            <w:r w:rsidR="00F57A4F" w:rsidRPr="008572C4">
              <w:rPr>
                <w:rFonts w:ascii="Corbel" w:hAnsi="Corbel"/>
                <w:sz w:val="24"/>
                <w:szCs w:val="24"/>
              </w:rPr>
              <w:t>nicjuje pracę w grupie, przyjmując odpowiedzialność za efekty wykonywanego przedsięwzięcia.</w:t>
            </w:r>
          </w:p>
        </w:tc>
        <w:tc>
          <w:tcPr>
            <w:tcW w:w="1873" w:type="dxa"/>
          </w:tcPr>
          <w:p w:rsidR="006A1024" w:rsidRPr="008572C4" w:rsidRDefault="006A102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F57A4F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samorządu terytorialnego, potrafi przygotowywać samodzielnie lub w grupie projekty społeczne i właściwie je uzasadnić;</w:t>
            </w:r>
          </w:p>
        </w:tc>
        <w:tc>
          <w:tcPr>
            <w:tcW w:w="1873" w:type="dxa"/>
          </w:tcPr>
          <w:p w:rsidR="00F57A4F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F57A4F" w:rsidRPr="009C54AE" w:rsidTr="005E6E85">
        <w:tc>
          <w:tcPr>
            <w:tcW w:w="1701" w:type="dxa"/>
          </w:tcPr>
          <w:p w:rsidR="00F57A4F" w:rsidRPr="008572C4" w:rsidRDefault="00F57A4F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F57A4F" w:rsidRPr="008572C4" w:rsidRDefault="00F57A4F" w:rsidP="00F57A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Posiada zdolność do </w:t>
            </w:r>
            <w:r w:rsidR="00417D63" w:rsidRPr="008572C4">
              <w:rPr>
                <w:rFonts w:ascii="Corbel" w:hAnsi="Corbel"/>
                <w:sz w:val="24"/>
                <w:szCs w:val="24"/>
              </w:rPr>
              <w:t xml:space="preserve">pogłębiania wiedzy i nadążania </w:t>
            </w:r>
            <w:r w:rsidRPr="008572C4">
              <w:rPr>
                <w:rFonts w:ascii="Corbel" w:hAnsi="Corbel"/>
                <w:sz w:val="24"/>
                <w:szCs w:val="24"/>
              </w:rPr>
              <w:t>za zmianami prawa;</w:t>
            </w:r>
          </w:p>
        </w:tc>
        <w:tc>
          <w:tcPr>
            <w:tcW w:w="1873" w:type="dxa"/>
          </w:tcPr>
          <w:p w:rsidR="00F57A4F" w:rsidRPr="008572C4" w:rsidRDefault="00D613A4" w:rsidP="00F57A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2C4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134"/>
      </w:tblGrid>
      <w:tr w:rsidR="0085747A" w:rsidRPr="008572C4" w:rsidTr="00076069">
        <w:trPr>
          <w:gridAfter w:val="1"/>
          <w:wAfter w:w="1134" w:type="dxa"/>
        </w:trPr>
        <w:tc>
          <w:tcPr>
            <w:tcW w:w="8505" w:type="dxa"/>
          </w:tcPr>
          <w:p w:rsidR="0085747A" w:rsidRPr="008572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1. Pojęcie administracji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lastRenderedPageBreak/>
              <w:t>2. Pojęcie i podział prawa administracyjnego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3. Podstawowe pojęcia w teorii prawa administracyjnego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4. Źródła prawa administracyjnego i ich promulgacja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5. Europeizacja prawa administracyjnego i administracji publicznej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6. Prawne formy działania administracji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7. Zasady prawa administracyjnego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8. Podmioty realizujące zadania administracji publicznej  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9. Podział terytorialny dla celów administracji publicznej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10. Administracja rządowa i samorząd terytorialny    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11. Pojęcie praw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a administracyjnego materialnego i jego systematyka, działy administracji rządowej</w:t>
            </w:r>
            <w:r w:rsidRPr="008572C4">
              <w:rPr>
                <w:rFonts w:ascii="Corbel" w:hAnsi="Corbel"/>
                <w:sz w:val="24"/>
                <w:szCs w:val="24"/>
              </w:rPr>
              <w:t>,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 xml:space="preserve"> a  część szczegółowa prawa administracyjnego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12. Prawo osobowe: ewidencja ludności, dowody osobiste, rejestracja akt stanu cywilnego, zmiana imienia i nazwiska, dokumenty paszportowe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13. Zbiórki publiczne</w:t>
            </w:r>
          </w:p>
        </w:tc>
        <w:tc>
          <w:tcPr>
            <w:tcW w:w="1134" w:type="dxa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14. Przepisy normujące wolność zrzeszania się: prawo o stowarzyszeniach, zgromadzenia publiczne, partie polityczne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 xml:space="preserve">15. Obywatelstwo polskie, pojęcie i sposoby nabycia, pojęcie cudzoziemca, Karta Polaka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16. Sposoby korzystania z wód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17. Administracja pomocy społecznej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18. Bezpieczeństwo imprez masowych</w:t>
            </w:r>
          </w:p>
        </w:tc>
        <w:tc>
          <w:tcPr>
            <w:tcW w:w="1134" w:type="dxa"/>
          </w:tcPr>
          <w:p w:rsidR="00AF5CB1" w:rsidRPr="008572C4" w:rsidRDefault="00076069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8572C4" w:rsidTr="00076069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CB1" w:rsidRPr="008572C4" w:rsidRDefault="00AF5CB1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19. Szkolnictwo wyższe, stopnie i tytuły naukowe</w:t>
            </w:r>
          </w:p>
        </w:tc>
        <w:tc>
          <w:tcPr>
            <w:tcW w:w="1134" w:type="dxa"/>
          </w:tcPr>
          <w:p w:rsidR="00AF5CB1" w:rsidRPr="008572C4" w:rsidRDefault="00076069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F5CB1" w:rsidRPr="008572C4" w:rsidTr="00076069">
        <w:tc>
          <w:tcPr>
            <w:tcW w:w="8505" w:type="dxa"/>
            <w:shd w:val="clear" w:color="auto" w:fill="auto"/>
          </w:tcPr>
          <w:p w:rsidR="00AF5CB1" w:rsidRPr="008572C4" w:rsidRDefault="00AF5CB1" w:rsidP="00AF5CB1">
            <w:pPr>
              <w:spacing w:after="0"/>
              <w:jc w:val="right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suma</w:t>
            </w:r>
          </w:p>
        </w:tc>
        <w:tc>
          <w:tcPr>
            <w:tcW w:w="1134" w:type="dxa"/>
          </w:tcPr>
          <w:p w:rsidR="00AF5CB1" w:rsidRPr="008572C4" w:rsidRDefault="00417D63" w:rsidP="00AF5CB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6</w:t>
            </w:r>
            <w:r w:rsidR="00AF5CB1" w:rsidRPr="008572C4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</w:tbl>
    <w:p w:rsidR="0085747A" w:rsidRPr="008572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572C4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2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72C4">
        <w:rPr>
          <w:rFonts w:ascii="Corbel" w:hAnsi="Corbel"/>
          <w:sz w:val="24"/>
          <w:szCs w:val="24"/>
        </w:rPr>
        <w:t xml:space="preserve">, </w:t>
      </w:r>
      <w:r w:rsidRPr="008572C4">
        <w:rPr>
          <w:rFonts w:ascii="Corbel" w:hAnsi="Corbel"/>
          <w:sz w:val="24"/>
          <w:szCs w:val="24"/>
        </w:rPr>
        <w:t xml:space="preserve">zajęć praktycznych </w:t>
      </w:r>
    </w:p>
    <w:p w:rsidR="00AF5CB1" w:rsidRPr="008572C4" w:rsidRDefault="00AF5CB1" w:rsidP="00AF5CB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749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9"/>
      </w:tblGrid>
      <w:tr w:rsidR="00AF5CB1" w:rsidRPr="008572C4" w:rsidTr="00076069">
        <w:tc>
          <w:tcPr>
            <w:tcW w:w="9749" w:type="dxa"/>
          </w:tcPr>
          <w:p w:rsidR="00AF5CB1" w:rsidRPr="008572C4" w:rsidRDefault="00AF5CB1" w:rsidP="00922CA6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8572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5CB1" w:rsidRPr="008572C4" w:rsidTr="00076069">
        <w:tc>
          <w:tcPr>
            <w:tcW w:w="9749" w:type="dxa"/>
          </w:tcPr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00"/>
              <w:gridCol w:w="993"/>
            </w:tblGrid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1. Pojęcie administracji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2. Pojęcie i podział prawa administracyjnego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3. Podstawowe pojęcia w teorii prawa administracyjnego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4. Źródła prawa administracyjnego i ich promulgacja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5. Europeizacja prawa administracyjnego i administracji publicznej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6. Prawne formy działania administracji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7. Zasady prawa administracyjnego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8. Podmioty realizujące zadania administracji publicznej  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9. Podział terytorialny dla celów administracji publicznej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10. Administracja rządowa i samorząd terytorialny    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11. Pojęcie prawa administracyjnego materialnego i jego systematyka, działy administracji rządowej a  część szczegółowa prawa administracyjnego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12. Prawo osobowe: ewidencja ludności, dowody osobiste, rejestracja akt stanu cywilnego, zmiana imienia i nazwiska, dokumenty paszportowe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10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13. Zbiórki publiczne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14. Przepisy normujące wolność zrzeszania się: prawo o stowarzyszeniach, zgromadzenia publiczne, partie polityczne                                                                      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 xml:space="preserve">15. Obywatelstwo polskie, pojęcie i sposoby nabycia, pojęcie cudzoziemca, Karta Polaka                                                                                                                        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16. Sposoby korzystania z wód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17. Administracja pomocy społecznej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18. Bezpieczeństwo imprez masowych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076069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19. Szkolnictwo wyższe, stopnie i tytuły naukowe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076069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5CB1" w:rsidRPr="008572C4" w:rsidTr="00076069">
              <w:tc>
                <w:tcPr>
                  <w:tcW w:w="8500" w:type="dxa"/>
                  <w:shd w:val="clear" w:color="auto" w:fill="auto"/>
                </w:tcPr>
                <w:p w:rsidR="00AF5CB1" w:rsidRPr="008572C4" w:rsidRDefault="00AF5CB1" w:rsidP="00922CA6">
                  <w:pPr>
                    <w:spacing w:after="0"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suma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AF5CB1" w:rsidRPr="008572C4" w:rsidRDefault="00417D63" w:rsidP="00922CA6">
                  <w:pPr>
                    <w:spacing w:after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572C4">
                    <w:rPr>
                      <w:rFonts w:ascii="Corbel" w:hAnsi="Corbel"/>
                      <w:sz w:val="24"/>
                      <w:szCs w:val="24"/>
                    </w:rPr>
                    <w:t>60</w:t>
                  </w:r>
                  <w:r w:rsidR="00AF5CB1" w:rsidRPr="008572C4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</w:tbl>
          <w:p w:rsidR="00AF5CB1" w:rsidRPr="008572C4" w:rsidRDefault="00AF5CB1" w:rsidP="00922CA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AF5CB1" w:rsidRPr="00966328" w:rsidRDefault="00AF5CB1" w:rsidP="00AF5CB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572C4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2C4">
        <w:rPr>
          <w:rFonts w:ascii="Corbel" w:hAnsi="Corbel"/>
          <w:smallCaps w:val="0"/>
          <w:szCs w:val="24"/>
        </w:rPr>
        <w:t>Wykład:</w:t>
      </w:r>
      <w:r w:rsidRPr="008572C4">
        <w:rPr>
          <w:rFonts w:ascii="Corbel" w:hAnsi="Corbel"/>
          <w:b w:val="0"/>
          <w:smallCaps w:val="0"/>
          <w:szCs w:val="24"/>
        </w:rPr>
        <w:t xml:space="preserve"> wykład problemowy, analiza i interpretacja tekstów źródłowych oraz wybranych orzeczeń, </w:t>
      </w:r>
    </w:p>
    <w:p w:rsidR="00E960BB" w:rsidRPr="008572C4" w:rsidRDefault="00A66216" w:rsidP="00A662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572C4">
        <w:rPr>
          <w:rFonts w:ascii="Corbel" w:hAnsi="Corbel"/>
          <w:smallCaps w:val="0"/>
          <w:szCs w:val="24"/>
        </w:rPr>
        <w:t>Ćwiczenia:</w:t>
      </w:r>
      <w:r w:rsidRPr="008572C4">
        <w:rPr>
          <w:rFonts w:ascii="Corbel" w:hAnsi="Corbel"/>
          <w:b w:val="0"/>
          <w:smallCaps w:val="0"/>
          <w:szCs w:val="24"/>
        </w:rPr>
        <w:t xml:space="preserve"> analiza tekstów z dyskusją, praca w grupach, analiza przypadków, analiza i interpretacja tekstów źródłowych oraz wybranych orzeczeń, dyskusja.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760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Pr="009C54AE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6069" w:rsidRPr="0001538D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i zaliczenie z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Pr="009C54AE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6069" w:rsidRPr="009C54AE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Pr="009C54AE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76069" w:rsidRPr="009C54AE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F29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11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EC25F4">
              <w:rPr>
                <w:rFonts w:ascii="Corbel" w:hAnsi="Corbel"/>
                <w:szCs w:val="24"/>
              </w:rPr>
              <w:t>w, ćw</w:t>
            </w:r>
            <w:r w:rsidRPr="00EC25F4"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07606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</w:tcPr>
          <w:p w:rsidR="000723AC" w:rsidRP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6069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F5CB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23AC"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A544B1">
              <w:rPr>
                <w:rFonts w:ascii="Corbel" w:hAnsi="Corbel"/>
                <w:b/>
                <w:smallCaps/>
                <w:szCs w:val="24"/>
              </w:rPr>
              <w:t>ć</w:t>
            </w:r>
            <w:r w:rsidRPr="00A544B1">
              <w:rPr>
                <w:rFonts w:ascii="Corbel" w:hAnsi="Corbel"/>
                <w:szCs w:val="24"/>
              </w:rPr>
              <w:t>w</w:t>
            </w:r>
            <w:r w:rsidRPr="00A544B1">
              <w:rPr>
                <w:rFonts w:ascii="Corbel" w:hAnsi="Corbel"/>
                <w:b/>
                <w:smallCaps/>
                <w:szCs w:val="24"/>
              </w:rPr>
              <w:t>.</w:t>
            </w:r>
            <w:r w:rsidRPr="00A544B1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A544B1">
              <w:rPr>
                <w:rFonts w:ascii="Corbel" w:hAnsi="Corbel"/>
                <w:b/>
                <w:smallCaps/>
                <w:szCs w:val="24"/>
              </w:rPr>
              <w:t>ć</w:t>
            </w:r>
            <w:r w:rsidRPr="00A544B1">
              <w:rPr>
                <w:rFonts w:ascii="Corbel" w:hAnsi="Corbel"/>
                <w:szCs w:val="24"/>
              </w:rPr>
              <w:t>w</w:t>
            </w:r>
            <w:r w:rsidRPr="00A544B1">
              <w:rPr>
                <w:rFonts w:ascii="Corbel" w:hAnsi="Corbel"/>
                <w:b/>
                <w:smallCaps/>
                <w:szCs w:val="24"/>
              </w:rPr>
              <w:t>.</w:t>
            </w:r>
            <w:r w:rsidRPr="00A544B1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A544B1">
              <w:rPr>
                <w:rFonts w:ascii="Corbel" w:hAnsi="Corbel"/>
                <w:b/>
                <w:smallCaps/>
                <w:szCs w:val="24"/>
              </w:rPr>
              <w:t>ć</w:t>
            </w:r>
            <w:r w:rsidRPr="00A544B1">
              <w:rPr>
                <w:rFonts w:ascii="Corbel" w:hAnsi="Corbel"/>
                <w:szCs w:val="24"/>
              </w:rPr>
              <w:t>w</w:t>
            </w:r>
            <w:r w:rsidRPr="00A544B1">
              <w:rPr>
                <w:rFonts w:ascii="Corbel" w:hAnsi="Corbel"/>
                <w:b/>
                <w:smallCaps/>
                <w:szCs w:val="24"/>
              </w:rPr>
              <w:t>.</w:t>
            </w:r>
            <w:r w:rsidRPr="00A544B1">
              <w:rPr>
                <w:rFonts w:ascii="Corbel" w:hAnsi="Corbel"/>
                <w:szCs w:val="24"/>
              </w:rPr>
              <w:t xml:space="preserve"> </w:t>
            </w:r>
          </w:p>
        </w:tc>
      </w:tr>
      <w:tr w:rsidR="00076069" w:rsidRPr="009C54AE" w:rsidTr="00C05F44">
        <w:tc>
          <w:tcPr>
            <w:tcW w:w="1985" w:type="dxa"/>
          </w:tcPr>
          <w:p w:rsidR="00076069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</w:tcPr>
          <w:p w:rsidR="00076069" w:rsidRPr="000723AC" w:rsidRDefault="00076069" w:rsidP="000760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i zaliczenie z oceną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6069" w:rsidRDefault="00076069" w:rsidP="00076069">
            <w:r w:rsidRPr="00A544B1">
              <w:rPr>
                <w:rFonts w:ascii="Corbel" w:hAnsi="Corbel"/>
                <w:b/>
                <w:smallCaps/>
                <w:szCs w:val="24"/>
              </w:rPr>
              <w:t>ć</w:t>
            </w:r>
            <w:r w:rsidRPr="00A544B1">
              <w:rPr>
                <w:rFonts w:ascii="Corbel" w:hAnsi="Corbel"/>
                <w:szCs w:val="24"/>
              </w:rPr>
              <w:t>w</w:t>
            </w:r>
            <w:r w:rsidRPr="00A544B1">
              <w:rPr>
                <w:rFonts w:ascii="Corbel" w:hAnsi="Corbel"/>
                <w:b/>
                <w:smallCaps/>
                <w:szCs w:val="24"/>
              </w:rPr>
              <w:t>.</w:t>
            </w:r>
            <w:r w:rsidRPr="00A544B1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A1024" w:rsidRDefault="006A102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A66216" w:rsidRPr="003F52FF" w:rsidRDefault="00A66216" w:rsidP="00A6621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ćwiczeń – frekwencja na ćwiczeniach ustalana na podstawie listy obecności, aktywność na ćwiczeniach, wyniki ustalane na podstawie pisemnych prac studentów lub ustnej odpowiedzi, obserwacja w trakcie zajęć, gdzie ocena pozytywna osiągana jest w przypadku uzyskania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onad 50% poprawnych odpowiedzi.</w:t>
            </w:r>
          </w:p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  <w:p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6A10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02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417D63" w:rsidRPr="00417D63" w:rsidRDefault="00417D63" w:rsidP="00417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17D63">
              <w:rPr>
                <w:rFonts w:ascii="Corbel" w:eastAsia="Cambria" w:hAnsi="Corbel"/>
                <w:sz w:val="24"/>
                <w:szCs w:val="24"/>
              </w:rPr>
              <w:t>Wykład – 60 godz.</w:t>
            </w:r>
          </w:p>
          <w:p w:rsidR="0085747A" w:rsidRPr="009C54AE" w:rsidRDefault="00417D63" w:rsidP="00417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7D63">
              <w:rPr>
                <w:rFonts w:ascii="Corbel" w:eastAsia="Cambria" w:hAnsi="Corbel"/>
                <w:sz w:val="24"/>
                <w:szCs w:val="24"/>
              </w:rPr>
              <w:t>Ćwiczenia – 60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6328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A66216">
              <w:rPr>
                <w:rFonts w:ascii="Corbel" w:hAnsi="Corbel"/>
                <w:sz w:val="24"/>
                <w:szCs w:val="24"/>
              </w:rPr>
              <w:t xml:space="preserve"> i w zaliczeniu ćwiczeń 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 w:rsidR="00417D63">
              <w:rPr>
                <w:rFonts w:ascii="Corbel" w:hAnsi="Corbel"/>
                <w:sz w:val="24"/>
                <w:szCs w:val="24"/>
              </w:rPr>
              <w:t>50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ćwiczeń</w:t>
            </w:r>
            <w:r w:rsidR="006A1024">
              <w:rPr>
                <w:rFonts w:ascii="Corbel" w:hAnsi="Corbel"/>
                <w:sz w:val="24"/>
                <w:szCs w:val="24"/>
              </w:rPr>
              <w:t xml:space="preserve"> i zaliczenia</w:t>
            </w:r>
            <w:r w:rsidR="00417D63">
              <w:rPr>
                <w:rFonts w:ascii="Corbel" w:hAnsi="Corbel"/>
                <w:sz w:val="24"/>
                <w:szCs w:val="24"/>
              </w:rPr>
              <w:t>: 4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6621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214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66216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6A1024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076069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076069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076069">
        <w:trPr>
          <w:trHeight w:val="397"/>
        </w:trPr>
        <w:tc>
          <w:tcPr>
            <w:tcW w:w="7513" w:type="dxa"/>
          </w:tcPr>
          <w:p w:rsidR="009C37B0" w:rsidRDefault="009C37B0" w:rsidP="009C37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60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76069" w:rsidRPr="00076069" w:rsidRDefault="00076069" w:rsidP="009C37B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E. Ura,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 xml:space="preserve">Prawo administracyjne, 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Wydawnictwo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LexisNexis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>, Warszawa 2015,</w:t>
            </w: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M. Wierzbowski, J. Jagielski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 Wydawnictwo Wolters Kluwer Polska, Warszawa 2019,</w:t>
            </w: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Z. Niewiadomski (red.),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, Wyd.6, Wydawnictwo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LexisNexis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>, Warszawa 2013,</w:t>
            </w: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J. Zimmermann, </w:t>
            </w:r>
            <w:r w:rsidRPr="008572C4">
              <w:rPr>
                <w:rFonts w:ascii="Corbel" w:eastAsia="Cambria" w:hAnsi="Corbel"/>
                <w:i/>
                <w:iCs/>
                <w:sz w:val="24"/>
                <w:szCs w:val="24"/>
              </w:rPr>
              <w:t>Prawo administracyjne</w:t>
            </w:r>
            <w:r w:rsidR="003B2F84" w:rsidRPr="008572C4">
              <w:rPr>
                <w:rFonts w:ascii="Corbel" w:eastAsia="Cambria" w:hAnsi="Corbel"/>
                <w:sz w:val="24"/>
                <w:szCs w:val="24"/>
              </w:rPr>
              <w:t>, Wolters Kluwer 2020</w:t>
            </w:r>
            <w:r w:rsidRPr="008572C4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A. </w:t>
            </w:r>
            <w:proofErr w:type="spellStart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Bła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ś</w:t>
            </w:r>
            <w:proofErr w:type="spellEnd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ć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J. Je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ż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ewski,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Administracja publiczna,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 4, Kolonia Limited 2004,</w:t>
            </w:r>
          </w:p>
          <w:p w:rsidR="009C37B0" w:rsidRPr="008572C4" w:rsidRDefault="009C37B0" w:rsidP="009C37B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J. Bo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 xml:space="preserve">ć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(red.)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Prawo administracyjne,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Wyd.13, Kolonia Limited 2010.</w:t>
            </w:r>
          </w:p>
          <w:p w:rsidR="00ED0422" w:rsidRPr="008572C4" w:rsidRDefault="00ED0422" w:rsidP="00ED04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076069">
        <w:trPr>
          <w:trHeight w:val="397"/>
        </w:trPr>
        <w:tc>
          <w:tcPr>
            <w:tcW w:w="7513" w:type="dxa"/>
          </w:tcPr>
          <w:p w:rsidR="003B2F84" w:rsidRDefault="003B2F84" w:rsidP="003B2F8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760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76069" w:rsidRPr="00076069" w:rsidRDefault="00076069" w:rsidP="003B2F8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Jagielski,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Kontrola administracji publicznej,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LexisNexis</w:t>
            </w:r>
            <w:proofErr w:type="spellEnd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Warszawa 2007,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Fundowicz</w:t>
            </w:r>
            <w:proofErr w:type="spellEnd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Decentralizacja administracji publicznej w Polsce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Lublin 2005,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B. Dolnicki,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Samorz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d terytorialny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, Wolters Kluwer 2019,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S. </w:t>
            </w:r>
            <w:proofErr w:type="spellStart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Langrod</w:t>
            </w:r>
            <w:proofErr w:type="spellEnd"/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Instytucje prawa administracyjnego. Zarys cz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ęś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ci ogólnej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. Reprint, Zakamycze 2003,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T. B</w:t>
            </w:r>
            <w:r w:rsidRPr="008572C4">
              <w:rPr>
                <w:rFonts w:ascii="Corbel" w:eastAsia="Cambria" w:hAnsi="Corbel" w:cs="TT196C6o00"/>
                <w:sz w:val="24"/>
                <w:szCs w:val="24"/>
                <w:lang w:eastAsia="pl-PL"/>
              </w:rPr>
              <w:t>ą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kowski,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Administracyjnoprawna sytuacja jednostki w 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>wietle zasady pomocniczo</w:t>
            </w:r>
            <w:r w:rsidRPr="008572C4">
              <w:rPr>
                <w:rFonts w:ascii="Corbel" w:eastAsia="Cambria" w:hAnsi="Corbel" w:cs="TT196D5o00"/>
                <w:sz w:val="24"/>
                <w:szCs w:val="24"/>
                <w:lang w:eastAsia="pl-PL"/>
              </w:rPr>
              <w:t>ś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ci,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</w:t>
            </w:r>
            <w:r w:rsidRPr="008572C4">
              <w:rPr>
                <w:rFonts w:ascii="Corbel" w:eastAsia="Cambria" w:hAnsi="Corbel"/>
                <w:b/>
                <w:sz w:val="24"/>
                <w:szCs w:val="24"/>
              </w:rPr>
              <w:t xml:space="preserve">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2007,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</w:rPr>
            </w:pP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 xml:space="preserve">J. Zimmermann (red.), </w:t>
            </w:r>
            <w:r w:rsidRPr="008572C4">
              <w:rPr>
                <w:rFonts w:ascii="Corbel" w:eastAsia="Cambria" w:hAnsi="Corbel" w:cs="Times-Italic"/>
                <w:i/>
                <w:iCs/>
                <w:sz w:val="24"/>
                <w:szCs w:val="24"/>
                <w:lang w:eastAsia="pl-PL"/>
              </w:rPr>
              <w:t xml:space="preserve">Koncepcja systemu prawa administracyjnego, </w:t>
            </w:r>
            <w:r w:rsidRPr="008572C4">
              <w:rPr>
                <w:rFonts w:ascii="Corbel" w:eastAsia="Cambria" w:hAnsi="Corbel" w:cs="Times-Roman"/>
                <w:sz w:val="24"/>
                <w:szCs w:val="24"/>
                <w:lang w:eastAsia="pl-PL"/>
              </w:rPr>
              <w:t>Wolters Kluwer 2007,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Jagielski, M. Wierzbowski, Prawo administracyjne dziś i jutro, Wolters Kluwer Polska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Korczak (red.), Prawo CCCXXVII. Sto lat polskiej administracji publicznej, 2019.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B. Jaworska-Dębska, Z.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Duniewska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>, M. Kasiński, E. Olejniczak-Szałowska, R. Michalska-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Badziak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, P. Korzeniowski, O prawie administracyjnym i administracji. Refleksje. Księga jubileuszowa dedykowana Profesor Małgorzacie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Stahl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>, 2016,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E. Feret, S. Pieprzny, Aktualne problemy funkcjonowania samorządu terytorialnego, Rzeszów-Sandomierz 2017,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Blicharz, L. Zacharko (red.) Administracja. Prawo administracyjne. Część ogólna, Katowice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R. Hauser, Z. Niewiadomski, A. Wróbel (red.), System Prawa Administracyjnego, Tom 1-12 Warszawa 2010-2019,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lastRenderedPageBreak/>
              <w:t>B. Dolnicki, Źródła prawa w samorządzie terytorialnym, Wolters Kluwer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R. Budzisz, B. Jaworska-Dębska, E. Olejniczak-Szałowska (red.), Decentralizacja i centralizacja administracji publicznej. Współczesny wymiar w teorii i praktyce, Wolters Kluwer 2019,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A. Dyląg, Przekształcenie samodzielnego publicznego zakładu opieki zdrowotnej jako forma prywatyzacji zadań publicznych, 2014,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P. Kledzik, Prawne uwarunkowania stwierdzenia nieważności decyzji w ogólnym postępowaniu administracyjnym, PRESSCOM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A. Barczak, P. Korzeniowski (red.), Administracja a środowisko, Szczecin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S. Pieprzny, Problemy współczesnej administracji w Polsce, Rzeszów 2016,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S. Pieprzny, Bezpieczeństwo imprez masowych, Rzeszów 2012,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S. Pieprzny, Problemy współczesnej administracji publicznej w Polsce, Rzeszów 2016.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S. Pieprzny, Bezpieczeństwo wewnętrzne państwa, Rzeszów 2015,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S. Pieprzny, Zagadnienia bezpieczeństwa i porządku publicznego w jednostkach samorządu terytorialnego, Rzeszów 2018,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E. Ura, E. Feret, S. Pieprzny, Jednostka wobec działań administracji publicznej, Rzeszów 2016.</w:t>
            </w:r>
          </w:p>
          <w:p w:rsidR="003B2F84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Z.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Duniewska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 xml:space="preserve">, B. Jaworska-Dębska, E. Olejniczak-Szałowska, M. </w:t>
            </w:r>
            <w:proofErr w:type="spellStart"/>
            <w:r w:rsidRPr="008572C4">
              <w:rPr>
                <w:rFonts w:ascii="Corbel" w:eastAsia="Cambria" w:hAnsi="Corbel"/>
                <w:sz w:val="24"/>
                <w:szCs w:val="24"/>
              </w:rPr>
              <w:t>Stahl</w:t>
            </w:r>
            <w:proofErr w:type="spellEnd"/>
            <w:r w:rsidRPr="008572C4">
              <w:rPr>
                <w:rFonts w:ascii="Corbel" w:eastAsia="Cambria" w:hAnsi="Corbel"/>
                <w:sz w:val="24"/>
                <w:szCs w:val="24"/>
              </w:rPr>
              <w:t>, Prawo administracyjne materialne, Warszawa 2016.</w:t>
            </w:r>
          </w:p>
          <w:p w:rsidR="0055661A" w:rsidRPr="008572C4" w:rsidRDefault="003B2F84" w:rsidP="003B2F8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572C4">
              <w:rPr>
                <w:rFonts w:ascii="Corbel" w:eastAsia="Cambria" w:hAnsi="Corbel"/>
                <w:sz w:val="24"/>
                <w:szCs w:val="24"/>
              </w:rPr>
              <w:t>J. Stelmasiak, M. Zdyb, Prawo administracyjne. Część ogólna, ustrojowe prawo administracyjne, wybrane zagadnienia materialnego prawa administracyjnego,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BB9" w:rsidRDefault="00394BB9" w:rsidP="00C16ABF">
      <w:pPr>
        <w:spacing w:after="0" w:line="240" w:lineRule="auto"/>
      </w:pPr>
      <w:r>
        <w:separator/>
      </w:r>
    </w:p>
  </w:endnote>
  <w:endnote w:type="continuationSeparator" w:id="0">
    <w:p w:rsidR="00394BB9" w:rsidRDefault="00394B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C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96D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BB9" w:rsidRDefault="00394BB9" w:rsidP="00C16ABF">
      <w:pPr>
        <w:spacing w:after="0" w:line="240" w:lineRule="auto"/>
      </w:pPr>
      <w:r>
        <w:separator/>
      </w:r>
    </w:p>
  </w:footnote>
  <w:footnote w:type="continuationSeparator" w:id="0">
    <w:p w:rsidR="00394BB9" w:rsidRDefault="00394BB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76069"/>
    <w:rsid w:val="000805E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27C5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50ED"/>
    <w:rsid w:val="0024028F"/>
    <w:rsid w:val="00244ABC"/>
    <w:rsid w:val="00247B98"/>
    <w:rsid w:val="00275C2A"/>
    <w:rsid w:val="00281FF2"/>
    <w:rsid w:val="002857DE"/>
    <w:rsid w:val="00291567"/>
    <w:rsid w:val="00295E0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94BB9"/>
    <w:rsid w:val="003A07E8"/>
    <w:rsid w:val="003A0A5B"/>
    <w:rsid w:val="003A1176"/>
    <w:rsid w:val="003B2F84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17D63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84531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5661A"/>
    <w:rsid w:val="0056696D"/>
    <w:rsid w:val="00571B4C"/>
    <w:rsid w:val="0059484D"/>
    <w:rsid w:val="00597F2A"/>
    <w:rsid w:val="005A0855"/>
    <w:rsid w:val="005A3196"/>
    <w:rsid w:val="005C080F"/>
    <w:rsid w:val="005C0B96"/>
    <w:rsid w:val="005C55E5"/>
    <w:rsid w:val="005C696A"/>
    <w:rsid w:val="005D771B"/>
    <w:rsid w:val="005E079D"/>
    <w:rsid w:val="005E3DA8"/>
    <w:rsid w:val="005E6E85"/>
    <w:rsid w:val="005F31D2"/>
    <w:rsid w:val="0061029B"/>
    <w:rsid w:val="00617230"/>
    <w:rsid w:val="00621CE1"/>
    <w:rsid w:val="00627FC9"/>
    <w:rsid w:val="00647FA8"/>
    <w:rsid w:val="00650C5F"/>
    <w:rsid w:val="00653A69"/>
    <w:rsid w:val="00654934"/>
    <w:rsid w:val="006620D9"/>
    <w:rsid w:val="00671958"/>
    <w:rsid w:val="00675843"/>
    <w:rsid w:val="00696477"/>
    <w:rsid w:val="006A1024"/>
    <w:rsid w:val="006C550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16D5"/>
    <w:rsid w:val="007C3299"/>
    <w:rsid w:val="007C3BCC"/>
    <w:rsid w:val="007C4546"/>
    <w:rsid w:val="007D6E56"/>
    <w:rsid w:val="007F4155"/>
    <w:rsid w:val="0081554D"/>
    <w:rsid w:val="0081707E"/>
    <w:rsid w:val="00834E0D"/>
    <w:rsid w:val="00835A90"/>
    <w:rsid w:val="00835CA4"/>
    <w:rsid w:val="008449B3"/>
    <w:rsid w:val="008539EE"/>
    <w:rsid w:val="008572C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D59F4"/>
    <w:rsid w:val="008E64F4"/>
    <w:rsid w:val="008F12C9"/>
    <w:rsid w:val="008F6E29"/>
    <w:rsid w:val="00916188"/>
    <w:rsid w:val="00923D7D"/>
    <w:rsid w:val="009508DF"/>
    <w:rsid w:val="00950DAC"/>
    <w:rsid w:val="00954A07"/>
    <w:rsid w:val="00966328"/>
    <w:rsid w:val="00983469"/>
    <w:rsid w:val="00997F14"/>
    <w:rsid w:val="009A78D9"/>
    <w:rsid w:val="009B7789"/>
    <w:rsid w:val="009C37B0"/>
    <w:rsid w:val="009C3E31"/>
    <w:rsid w:val="009C54AE"/>
    <w:rsid w:val="009C788E"/>
    <w:rsid w:val="009E3B41"/>
    <w:rsid w:val="009F3C5C"/>
    <w:rsid w:val="009F4610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2E5A"/>
    <w:rsid w:val="00A97DE1"/>
    <w:rsid w:val="00AB053C"/>
    <w:rsid w:val="00AD1146"/>
    <w:rsid w:val="00AD12F2"/>
    <w:rsid w:val="00AD27D3"/>
    <w:rsid w:val="00AD66D6"/>
    <w:rsid w:val="00AE1160"/>
    <w:rsid w:val="00AE203C"/>
    <w:rsid w:val="00AE2E74"/>
    <w:rsid w:val="00AE5FCB"/>
    <w:rsid w:val="00AF2C1E"/>
    <w:rsid w:val="00AF5CB1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5089"/>
    <w:rsid w:val="00CC525D"/>
    <w:rsid w:val="00CD6897"/>
    <w:rsid w:val="00CE3FC9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13A4"/>
    <w:rsid w:val="00D74119"/>
    <w:rsid w:val="00D8075B"/>
    <w:rsid w:val="00D8678B"/>
    <w:rsid w:val="00DA2114"/>
    <w:rsid w:val="00DC1E45"/>
    <w:rsid w:val="00DE09C0"/>
    <w:rsid w:val="00DE1049"/>
    <w:rsid w:val="00DE4A14"/>
    <w:rsid w:val="00DE51C7"/>
    <w:rsid w:val="00DF320D"/>
    <w:rsid w:val="00DF71C8"/>
    <w:rsid w:val="00E05CD0"/>
    <w:rsid w:val="00E129B8"/>
    <w:rsid w:val="00E21E7D"/>
    <w:rsid w:val="00E22FBC"/>
    <w:rsid w:val="00E24BF5"/>
    <w:rsid w:val="00E25338"/>
    <w:rsid w:val="00E41E47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26AF"/>
    <w:rsid w:val="00F57A4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F9934-89D5-4CBD-BF9E-3937D4EE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8</Pages>
  <Words>2249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2021-04-07T13:52:00Z</dcterms:created>
  <dcterms:modified xsi:type="dcterms:W3CDTF">2021-08-20T11:24:00Z</dcterms:modified>
</cp:coreProperties>
</file>